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ind w:left="3540" w:right="518" w:hanging="1944"/>
        <w:jc w:val="both"/>
        <w:rPr>
          <w:rFonts w:ascii="Times New Roman" w:hAnsi="Times New Roman" w:cs="Times New Roman"/>
          <w:b/>
          <w:bCs/>
          <w:color w:val="323232"/>
          <w:sz w:val="20"/>
          <w:szCs w:val="20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323232"/>
          <w:sz w:val="20"/>
          <w:szCs w:val="20"/>
          <w:shd w:val="clear" w:color="auto" w:fill="FFFFFF"/>
        </w:rPr>
        <w:t>Objaśnienia wartości przyjętych w wieloletniej prognozie finansowej na lata 2020 -2035 Gminy Wydminy</w:t>
      </w: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ind w:left="3540" w:right="518" w:hanging="1944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ind w:left="2515" w:right="518" w:hanging="1944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Uwagi ogólne:</w:t>
      </w: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Ustawa z dnia 27 sierpnia 2009 roku o finansach publicznych ( Dz. U z 2019 roku, poz.869 ze zm.) w art. 226 nakłada obowiązek sporządzenia Wieloletniej Prognozy Finansowej (WPF). Prognozę sporządzono na okres, na który zaciągnięto oraz planuje się zaciągnąć zobowiązania tj. na lata 2020- 2035. Celem przygotowania wieloletniej prognozy jest przedstawienie kondycji gminnego budżetu na dalsze lata, możliwości planowania inwestycji oraz możliwości spłat zobowiązań.</w:t>
      </w: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93"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Dochody:</w:t>
      </w: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 xml:space="preserve">W wieloletniej prognozie finansowej na lata 2020 - 2035 przyjęto wzrost  ogólnych kwot dochodów  bieżących i wydatków. W roku 2020 zaplanowano  również   dochody i wydatki majątkowe na podstawie już zawartych umów na dofinansowanie. Od roku 2020 przyjęto niewielki wzrost wielkości dochodów i wydatków uznając, że planowanie dużych wzrostów poza okres czteroletni obarczone jest zbyt dużym ryzykiem błędu. </w:t>
      </w: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shd w:val="clear" w:color="auto" w:fill="FFFFFF"/>
        </w:rPr>
        <w:t>W zakresie dochodów majątkowych w roku 2020 wykazano planowane dochody ze sprzedaży majątku oraz pozyskane środki na inwestycje. W pozostałych latach na dzień sporządzania prognozy  planuje się otrzymanie dotacji majątkowych tylko w 2021 roku. Przyjęto na lata 2020 - 2035 wartość szacunkową nieruchomości przeznaczonych do sprzedaży na podstawie danych uzyskanych z referatu gospodarki mieniem gminnym.</w:t>
      </w:r>
    </w:p>
    <w:p w:rsidR="00474475" w:rsidRPr="00474475" w:rsidRDefault="00474475" w:rsidP="00474475">
      <w:pPr>
        <w:widowControl w:val="0"/>
        <w:tabs>
          <w:tab w:val="left" w:pos="251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31" w:lineRule="exact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shd w:val="clear" w:color="auto" w:fill="FFFFFF"/>
        </w:rPr>
        <w:t>Kwoty dotacji przyjęto na podstawie decyzji Wojewody Warmińsko - Mazurskiego</w:t>
      </w:r>
      <w:r w:rsidRPr="00474475">
        <w:rPr>
          <w:rFonts w:ascii="Times New Roman" w:hAnsi="Times New Roman" w:cs="Times New Roman"/>
          <w:color w:val="000000"/>
          <w:shd w:val="clear" w:color="auto" w:fill="FFFFFF"/>
        </w:rPr>
        <w:t xml:space="preserve"> w Olsztynie. Na podstawie  informacji z Ministerstwa Finansów przyjęto plan do budżetu w zakresie subwencji i udziałów w podatku od osób fizycznych.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93"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Wydatki: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93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Plan wydatków przyjęto na podstawie przewidywanego wykonania roku 2019 z uwzględnieniem niezbędnych potrzeb.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93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Wydatki na obsługę długu zaplanowano na podstawie harmonogramów spłat zaciągniętych kredytów i pożyczek, jak również tych planowanych do zaciągnięcia.. Na tej samej podstawie zaplanowano wysokość rozchodów.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69"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Wynagrodzenia i składki związane z ich naliczeniem - ze względu na konieczność spełnienia warunków określonych w art. 243 ustawy o finansach publicznych  przewiduje się niski wzrost wynagrodzeń pracowników zatrudnionych w jednostkach organizacyjnych Gminy.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Wydatki zaplanowano na przedsięwzięcia przewidziane w załączniku nr 2 do uchwały w sprawie wieloletniej prognozy finansowej. W pozostałym zakresie przewiduje się realizację inwestycji rocznych.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3" w:after="0" w:line="240" w:lineRule="auto"/>
        <w:ind w:right="14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Przychody:</w:t>
      </w:r>
    </w:p>
    <w:p w:rsidR="00474475" w:rsidRPr="00474475" w:rsidRDefault="00474475" w:rsidP="004744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78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Planuje się zaciągnięcie pożyczki  i kredytu w 2020 roku w wysokości 2.500.000,00 zł.</w:t>
      </w: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88" w:after="0" w:line="240" w:lineRule="auto"/>
        <w:ind w:left="5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Rozchody:</w:t>
      </w: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8" w:after="0" w:line="240" w:lineRule="auto"/>
        <w:ind w:left="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Spłatę długu zaplanowano na podstawie harmonogramów spłat zaciągniętych kredytów i pożyczek. W 2020 roku planuje się spłaty kredytów w wysokości 2.120.777,53 </w:t>
      </w:r>
      <w:r w:rsidRPr="00474475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474475">
        <w:rPr>
          <w:rFonts w:ascii="Times New Roman" w:hAnsi="Times New Roman" w:cs="Times New Roman"/>
          <w:shd w:val="clear" w:color="auto" w:fill="FFFFFF"/>
        </w:rPr>
        <w:t>zł</w:t>
      </w:r>
      <w:r w:rsidRPr="00474475">
        <w:rPr>
          <w:rFonts w:ascii="Times New Roman" w:hAnsi="Times New Roman" w:cs="Times New Roman"/>
          <w:color w:val="000000"/>
          <w:shd w:val="clear" w:color="auto" w:fill="FFFFFF"/>
        </w:rPr>
        <w:t xml:space="preserve"> oraz  pożyczek zaciągniętych w Wojewódzkim Funduszu Ochrony Środowiska i Gospodarki wodnej w Olsztynie w kwocie 104.907,94 zł.  Przedstawiono spłaty kredytów i pożyczek do roku 2035.</w:t>
      </w: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8" w:after="0" w:line="240" w:lineRule="auto"/>
        <w:ind w:left="5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8" w:after="0" w:line="240" w:lineRule="auto"/>
        <w:ind w:left="5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Wynik budżetu:</w:t>
      </w:r>
    </w:p>
    <w:p w:rsidR="00474475" w:rsidRPr="00474475" w:rsidRDefault="00474475" w:rsidP="00474475">
      <w:pPr>
        <w:widowControl w:val="0"/>
        <w:tabs>
          <w:tab w:val="left" w:pos="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58" w:after="0" w:line="240" w:lineRule="auto"/>
        <w:ind w:left="5"/>
        <w:jc w:val="both"/>
        <w:rPr>
          <w:rFonts w:ascii="Times New Roman" w:hAnsi="Times New Roman" w:cs="Times New Roman"/>
          <w:shd w:val="clear" w:color="auto" w:fill="FFFFFF"/>
        </w:rPr>
      </w:pPr>
    </w:p>
    <w:p w:rsidR="00474475" w:rsidRPr="00474475" w:rsidRDefault="00474475" w:rsidP="00474475">
      <w:pPr>
        <w:widowControl w:val="0"/>
        <w:tabs>
          <w:tab w:val="left" w:pos="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Pozycja „Wynik budżetu" jest różnicą pomiędzy pozycją  l „Dochody" a pozycją 2 „Wydatki". Ujemny wynik stanowi deficyt budżetu a dodatni stanowi nadwyżkę budżetu. Stosownie do art. 89 ust. 1 ustawy o finansach publicznych jednostki samorządu terytorialnego mogą zaciągać kredyty i pożyczki na finansowanie planowanego deficytu budżetu oraz na spłatę wcześniej zaciągniętych zobowiązań z tytułu emisji papierów wartościowych oraz zaciągniętych pożyczek i kredytów. Występujący deficyt planuje się pokryć przychodami pochodzącymi z pożyczek i kredytów zaciągniętych przez jednostkę. Występującą nadwyżkę budżetową planuje się przeznaczyć na spłatę zaciągniętego długu.</w:t>
      </w:r>
    </w:p>
    <w:p w:rsidR="00474475" w:rsidRPr="00474475" w:rsidRDefault="00474475" w:rsidP="00474475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88" w:after="0" w:line="240" w:lineRule="auto"/>
        <w:ind w:left="14" w:right="86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Kwota długu, sposób jego sfinansowania i relacja o której mowa w art.243 ustawy </w:t>
      </w:r>
      <w:r w:rsidRPr="0047447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br/>
        <w:t>o finansach publicznych:</w:t>
      </w:r>
    </w:p>
    <w:p w:rsidR="00474475" w:rsidRPr="00474475" w:rsidRDefault="00474475" w:rsidP="00474475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4" w:after="0" w:line="240" w:lineRule="auto"/>
        <w:ind w:left="14" w:right="2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>Kwota wykazana jako dług na koniec każdego roku jest wynikiem działania: dług poprzedniego roku + zaciągany dług - spłata długu. Sposób finansowania długu - przyjmuje się, że dług (jego spłata) jest finansowany w pierwszej kolejności z nadwyżki budżetowej.</w:t>
      </w:r>
    </w:p>
    <w:p w:rsidR="00474475" w:rsidRPr="00474475" w:rsidRDefault="00474475" w:rsidP="00474475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4" w:after="0" w:line="240" w:lineRule="auto"/>
        <w:ind w:left="14" w:right="29"/>
        <w:jc w:val="both"/>
        <w:rPr>
          <w:rFonts w:ascii="Times New Roman" w:hAnsi="Times New Roman" w:cs="Times New Roman"/>
          <w:shd w:val="clear" w:color="auto" w:fill="FFFFFF"/>
        </w:rPr>
      </w:pPr>
      <w:r w:rsidRPr="00474475">
        <w:rPr>
          <w:rFonts w:ascii="Times New Roman" w:hAnsi="Times New Roman" w:cs="Times New Roman"/>
          <w:color w:val="000000"/>
          <w:shd w:val="clear" w:color="auto" w:fill="FFFFFF"/>
        </w:rPr>
        <w:t xml:space="preserve">Relacje, o której mowa w art. 243 ustawy o finansach publicznych </w:t>
      </w:r>
      <w:r w:rsidRPr="00474475">
        <w:rPr>
          <w:rFonts w:ascii="Times New Roman" w:hAnsi="Times New Roman" w:cs="Times New Roman"/>
          <w:shd w:val="clear" w:color="auto" w:fill="FFFFFF"/>
        </w:rPr>
        <w:t>wyliczona została w pozycjach 8.1 – 8.4.1 załącznika nr 1.</w:t>
      </w:r>
    </w:p>
    <w:p w:rsidR="00474475" w:rsidRPr="00474475" w:rsidRDefault="00474475" w:rsidP="00474475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4" w:after="0" w:line="240" w:lineRule="auto"/>
        <w:ind w:left="14" w:right="2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74475">
        <w:rPr>
          <w:rFonts w:ascii="Times New Roman" w:hAnsi="Times New Roman" w:cs="Times New Roman"/>
          <w:shd w:val="clear" w:color="auto" w:fill="FFFFFF"/>
        </w:rPr>
        <w:t>W tych pozycjach  załącznika nr l do uchwały w sprawie prognozy w tabeli głównej obliczone są w/w wskaźniki dla Gminy Wydminy. Indywidualny wskaźnik zadłużenia określany jest wzorem, w którym stosunek spłat rat kredytów i pożyczek wraz z należnymi odsetkami w stosunku do planowanych dochodów w</w:t>
      </w:r>
      <w:r w:rsidRPr="00474475">
        <w:rPr>
          <w:rFonts w:ascii="Times New Roman" w:hAnsi="Times New Roman" w:cs="Times New Roman"/>
          <w:color w:val="000000"/>
          <w:shd w:val="clear" w:color="auto" w:fill="FFFFFF"/>
        </w:rPr>
        <w:t xml:space="preserve"> danym roku nie może przekroczyć średniej arytmetycznej z obliczonych dla ostatnich trzech lat relacji jej dochodów bieżących powiększonych o dochody ze sprzedaży majątku oraz pomniejszonych o wydatki bieżące w stosunku do dochodów ogółem budżetu..</w:t>
      </w:r>
    </w:p>
    <w:p w:rsidR="00474475" w:rsidRPr="00474475" w:rsidRDefault="00474475" w:rsidP="00474475">
      <w:pPr>
        <w:widowControl w:val="0"/>
        <w:tabs>
          <w:tab w:val="left" w:pos="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274" w:after="0" w:line="240" w:lineRule="auto"/>
        <w:ind w:left="14" w:right="29"/>
        <w:jc w:val="both"/>
        <w:rPr>
          <w:rFonts w:ascii="Times New Roman" w:hAnsi="Times New Roman" w:cs="Times New Roman"/>
        </w:rPr>
      </w:pPr>
      <w:r w:rsidRPr="00474475">
        <w:rPr>
          <w:rFonts w:ascii="Times New Roman" w:hAnsi="Times New Roman" w:cs="Times New Roman"/>
        </w:rPr>
        <w:t xml:space="preserve"> Realizując inwestycje należy liczyć się z tym. iż Gmina nie jest w stanie zrealizować zadań inwestycyjnych z własnych środków, dlatego też spłata zaciągniętych kredytów pociąga za sobą dodatkowe wydatki związane z obsługą długu - odsetki bankowe, na które trzeba zabezpieczyć środki w latach spłaty kredytów.</w:t>
      </w:r>
    </w:p>
    <w:p w:rsidR="00474475" w:rsidRPr="00474475" w:rsidRDefault="00474475" w:rsidP="00474475">
      <w:pPr>
        <w:widowControl w:val="0"/>
        <w:tabs>
          <w:tab w:val="left" w:pos="37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4475" w:rsidRPr="00474475" w:rsidRDefault="00474475" w:rsidP="00474475">
      <w:pPr>
        <w:widowControl w:val="0"/>
        <w:tabs>
          <w:tab w:val="left" w:pos="37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4475" w:rsidRPr="00474475" w:rsidRDefault="00474475" w:rsidP="00474475">
      <w:pPr>
        <w:widowControl w:val="0"/>
        <w:tabs>
          <w:tab w:val="left" w:pos="37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  <w:t>Przewodniczący Rady Gminy</w:t>
      </w:r>
    </w:p>
    <w:p w:rsidR="00474475" w:rsidRPr="00474475" w:rsidRDefault="00474475" w:rsidP="00474475">
      <w:pPr>
        <w:widowControl w:val="0"/>
        <w:tabs>
          <w:tab w:val="left" w:pos="37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74475" w:rsidRPr="00474475" w:rsidRDefault="00474475" w:rsidP="00474475">
      <w:pPr>
        <w:widowControl w:val="0"/>
        <w:tabs>
          <w:tab w:val="left" w:pos="371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</w:r>
      <w:r w:rsidRPr="00474475">
        <w:rPr>
          <w:rFonts w:ascii="Times New Roman" w:hAnsi="Times New Roman" w:cs="Times New Roman"/>
        </w:rPr>
        <w:tab/>
        <w:t>Waldemar Antoni Samborski</w:t>
      </w:r>
    </w:p>
    <w:p w:rsidR="00F9446B" w:rsidRDefault="00F9446B">
      <w:bookmarkStart w:id="0" w:name="_GoBack"/>
      <w:bookmarkEnd w:id="0"/>
    </w:p>
    <w:sectPr w:rsidR="00F9446B" w:rsidSect="00C3587F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475"/>
    <w:rsid w:val="00474475"/>
    <w:rsid w:val="00F9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F08C0-EA6D-49BE-BE91-D7305526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</cp:revision>
  <dcterms:created xsi:type="dcterms:W3CDTF">2019-11-19T12:13:00Z</dcterms:created>
  <dcterms:modified xsi:type="dcterms:W3CDTF">2019-11-19T12:14:00Z</dcterms:modified>
</cp:coreProperties>
</file>